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A495EE7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Autospacing="0" w:after="0" w:afterAutospacing="0" w:line="600" w:lineRule="exact"/>
        <w:textAlignment w:val="auto"/>
        <w:rPr>
          <w:rFonts w:hint="eastAsia" w:ascii="方正小标宋简体" w:hAnsi="方正小标宋简体" w:cs="方正小标宋简体"/>
          <w:b/>
          <w:bCs/>
          <w:sz w:val="40"/>
          <w:lang w:val="en-US" w:eastAsia="zh-CN" w:bidi="ar"/>
        </w:rPr>
      </w:pPr>
      <w:bookmarkStart w:id="0" w:name="_GoBack"/>
      <w:r>
        <w:rPr>
          <w:rFonts w:hint="eastAsia" w:ascii="方正小标宋简体" w:hAnsi="方正小标宋简体" w:cs="方正小标宋简体"/>
          <w:b/>
          <w:bCs/>
          <w:sz w:val="40"/>
          <w:lang w:val="en-US" w:eastAsia="zh-CN" w:bidi="ar"/>
        </w:rPr>
        <w:t>第二轮自治区生态环境保护督察第24项整改</w:t>
      </w:r>
    </w:p>
    <w:p w14:paraId="79F0EA9E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Autospacing="0" w:after="0" w:afterAutospacing="0" w:line="600" w:lineRule="exact"/>
        <w:textAlignment w:val="auto"/>
        <w:rPr>
          <w:rFonts w:ascii="方正小标宋简体" w:hAnsi="方正小标宋简体" w:cs="方正小标宋简体"/>
          <w:b/>
          <w:bCs/>
          <w:sz w:val="40"/>
          <w:lang w:bidi="ar"/>
        </w:rPr>
      </w:pPr>
      <w:r>
        <w:rPr>
          <w:rFonts w:hint="eastAsia" w:ascii="方正小标宋简体" w:hAnsi="方正小标宋简体" w:cs="方正小标宋简体"/>
          <w:b/>
          <w:bCs/>
          <w:sz w:val="40"/>
          <w:lang w:val="en-US" w:eastAsia="zh-CN" w:bidi="ar"/>
        </w:rPr>
        <w:t>任务完成情况</w:t>
      </w:r>
      <w:r>
        <w:rPr>
          <w:rFonts w:ascii="方正小标宋简体" w:hAnsi="方正小标宋简体" w:cs="方正小标宋简体"/>
          <w:b/>
          <w:bCs/>
          <w:sz w:val="40"/>
          <w:lang w:bidi="ar"/>
        </w:rPr>
        <w:t>表</w:t>
      </w:r>
    </w:p>
    <w:bookmarkEnd w:id="0"/>
    <w:p w14:paraId="07510C5D">
      <w:pPr>
        <w:pStyle w:val="5"/>
        <w:rPr>
          <w:rFonts w:hint="default" w:ascii="方正小标宋简体" w:hAnsi="方正小标宋简体" w:cs="方正小标宋简体"/>
          <w:b/>
          <w:bCs/>
          <w:sz w:val="40"/>
          <w:lang w:bidi="ar"/>
        </w:rPr>
      </w:pPr>
    </w:p>
    <w:tbl>
      <w:tblPr>
        <w:tblStyle w:val="7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53"/>
        <w:gridCol w:w="6469"/>
      </w:tblGrid>
      <w:tr w14:paraId="76262AB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3" w:hRule="atLeast"/>
        </w:trPr>
        <w:tc>
          <w:tcPr>
            <w:tcW w:w="2053" w:type="dxa"/>
            <w:noWrap w:val="0"/>
            <w:vAlign w:val="center"/>
          </w:tcPr>
          <w:p w14:paraId="2C8CC2AA"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="0" w:afterAutospacing="0" w:line="600" w:lineRule="exact"/>
              <w:jc w:val="center"/>
              <w:textAlignment w:val="auto"/>
              <w:rPr>
                <w:rFonts w:ascii="宋体" w:hAnsi="宋体" w:eastAsia="宋体" w:cs="宋体"/>
                <w:b/>
                <w:bCs/>
                <w:sz w:val="28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8"/>
                <w:szCs w:val="21"/>
              </w:rPr>
              <w:t>整改任务</w:t>
            </w:r>
          </w:p>
        </w:tc>
        <w:tc>
          <w:tcPr>
            <w:tcW w:w="6469" w:type="dxa"/>
            <w:noWrap w:val="0"/>
            <w:vAlign w:val="center"/>
          </w:tcPr>
          <w:p w14:paraId="0DEDD07B">
            <w:pPr>
              <w:pStyle w:val="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85" w:beforeLines="27" w:beforeAutospacing="0" w:after="229" w:afterLines="73" w:afterAutospacing="0" w:line="600" w:lineRule="exact"/>
              <w:jc w:val="both"/>
              <w:textAlignment w:val="auto"/>
              <w:rPr>
                <w:rFonts w:hint="default" w:ascii="华文仿宋" w:hAnsi="华文仿宋" w:eastAsia="华文仿宋" w:cs="华文仿宋"/>
                <w:b/>
                <w:bCs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华文仿宋" w:hAnsi="华文仿宋" w:eastAsia="华文仿宋" w:cs="华文仿宋"/>
                <w:b/>
                <w:bCs/>
                <w:kern w:val="2"/>
                <w:sz w:val="28"/>
                <w:szCs w:val="28"/>
                <w:lang w:val="en-US" w:eastAsia="zh-CN" w:bidi="ar-SA"/>
              </w:rPr>
              <w:t>苏尼特右旗城镇污水处理厂应急事故池长期大量违规存蓄污水；正镶白旗城镇污水处理厂2023年以来，在未增加处理能力的情况下，新增排水住户1400户，超负荷运行时将污水存入应急池并未及时腾空。</w:t>
            </w:r>
          </w:p>
        </w:tc>
      </w:tr>
      <w:tr w14:paraId="7638CFE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5" w:hRule="atLeast"/>
        </w:trPr>
        <w:tc>
          <w:tcPr>
            <w:tcW w:w="2053" w:type="dxa"/>
            <w:noWrap w:val="0"/>
            <w:vAlign w:val="center"/>
          </w:tcPr>
          <w:p w14:paraId="42F01177"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="0" w:afterAutospacing="0" w:line="600" w:lineRule="exact"/>
              <w:jc w:val="center"/>
              <w:textAlignment w:val="auto"/>
              <w:rPr>
                <w:rFonts w:ascii="宋体" w:hAnsi="宋体" w:eastAsia="宋体" w:cs="宋体"/>
                <w:b/>
                <w:bCs/>
                <w:sz w:val="28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8"/>
                <w:szCs w:val="21"/>
              </w:rPr>
              <w:t>责任单位</w:t>
            </w:r>
          </w:p>
        </w:tc>
        <w:tc>
          <w:tcPr>
            <w:tcW w:w="6469" w:type="dxa"/>
            <w:noWrap w:val="0"/>
            <w:vAlign w:val="center"/>
          </w:tcPr>
          <w:p w14:paraId="1316065E">
            <w:pPr>
              <w:pStyle w:val="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600" w:lineRule="exact"/>
              <w:jc w:val="both"/>
              <w:textAlignment w:val="auto"/>
              <w:rPr>
                <w:rFonts w:hint="default" w:ascii="华文仿宋" w:hAnsi="华文仿宋" w:eastAsia="华文仿宋" w:cs="华文仿宋"/>
                <w:b/>
                <w:bCs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华文仿宋" w:hAnsi="华文仿宋" w:eastAsia="华文仿宋" w:cs="华文仿宋"/>
                <w:b/>
                <w:bCs/>
                <w:kern w:val="2"/>
                <w:sz w:val="28"/>
                <w:szCs w:val="28"/>
                <w:lang w:val="en-US" w:eastAsia="zh-CN" w:bidi="ar-SA"/>
              </w:rPr>
              <w:t>苏尼特右旗、正镶白旗党委和政府</w:t>
            </w:r>
          </w:p>
        </w:tc>
      </w:tr>
      <w:tr w14:paraId="4B02990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40" w:hRule="atLeast"/>
        </w:trPr>
        <w:tc>
          <w:tcPr>
            <w:tcW w:w="2053" w:type="dxa"/>
            <w:noWrap w:val="0"/>
            <w:vAlign w:val="center"/>
          </w:tcPr>
          <w:p w14:paraId="2B806012"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="0" w:afterAutospacing="0" w:line="600" w:lineRule="exact"/>
              <w:jc w:val="center"/>
              <w:textAlignment w:val="auto"/>
              <w:rPr>
                <w:rFonts w:ascii="宋体" w:hAnsi="宋体" w:eastAsia="宋体" w:cs="宋体"/>
                <w:b/>
                <w:bCs/>
                <w:sz w:val="28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8"/>
                <w:szCs w:val="21"/>
              </w:rPr>
              <w:t>整改目标</w:t>
            </w:r>
          </w:p>
        </w:tc>
        <w:tc>
          <w:tcPr>
            <w:tcW w:w="6469" w:type="dxa"/>
            <w:noWrap w:val="0"/>
            <w:vAlign w:val="center"/>
          </w:tcPr>
          <w:p w14:paraId="56FD9AA7">
            <w:pPr>
              <w:pStyle w:val="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315" w:beforeLines="101" w:beforeAutospacing="0" w:after="159" w:afterLines="51" w:afterAutospacing="0" w:line="600" w:lineRule="exact"/>
              <w:jc w:val="both"/>
              <w:textAlignment w:val="auto"/>
              <w:rPr>
                <w:rFonts w:hint="eastAsia" w:ascii="华文仿宋" w:hAnsi="华文仿宋" w:eastAsia="华文仿宋" w:cs="华文仿宋"/>
                <w:b/>
                <w:bCs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华文仿宋" w:hAnsi="华文仿宋" w:eastAsia="华文仿宋" w:cs="华文仿宋"/>
                <w:b/>
                <w:bCs/>
                <w:kern w:val="2"/>
                <w:sz w:val="28"/>
                <w:szCs w:val="28"/>
                <w:lang w:val="en-US" w:eastAsia="zh-CN" w:bidi="ar-SA"/>
              </w:rPr>
              <w:t>强化城镇污水处理设施运行管理，确保事故应急池在非事故情形下保持常空状态，有效发挥应急调蓄作用。</w:t>
            </w:r>
          </w:p>
        </w:tc>
      </w:tr>
      <w:tr w14:paraId="209817C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55" w:hRule="atLeast"/>
        </w:trPr>
        <w:tc>
          <w:tcPr>
            <w:tcW w:w="2053" w:type="dxa"/>
            <w:noWrap w:val="0"/>
            <w:vAlign w:val="center"/>
          </w:tcPr>
          <w:p w14:paraId="1C80C5BA"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="0" w:afterAutospacing="0" w:line="600" w:lineRule="exact"/>
              <w:jc w:val="center"/>
              <w:textAlignment w:val="auto"/>
              <w:rPr>
                <w:rFonts w:ascii="宋体" w:hAnsi="宋体" w:eastAsia="宋体" w:cs="宋体"/>
                <w:b/>
                <w:bCs/>
                <w:sz w:val="28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8"/>
                <w:szCs w:val="21"/>
              </w:rPr>
              <w:t>整改措施</w:t>
            </w:r>
          </w:p>
        </w:tc>
        <w:tc>
          <w:tcPr>
            <w:tcW w:w="6469" w:type="dxa"/>
            <w:noWrap w:val="0"/>
            <w:vAlign w:val="center"/>
          </w:tcPr>
          <w:p w14:paraId="318C2D56">
            <w:pPr>
              <w:pStyle w:val="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249" w:afterLines="79" w:afterAutospacing="0" w:line="600" w:lineRule="exact"/>
              <w:jc w:val="both"/>
              <w:textAlignment w:val="auto"/>
              <w:rPr>
                <w:rFonts w:hint="default" w:ascii="华文仿宋" w:hAnsi="华文仿宋" w:eastAsia="华文仿宋" w:cs="华文仿宋"/>
                <w:b/>
                <w:bCs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华文仿宋" w:hAnsi="华文仿宋" w:eastAsia="华文仿宋" w:cs="华文仿宋"/>
                <w:b/>
                <w:bCs/>
                <w:kern w:val="2"/>
                <w:sz w:val="28"/>
                <w:szCs w:val="28"/>
                <w:lang w:val="en-US" w:eastAsia="zh-CN" w:bidi="ar-SA"/>
              </w:rPr>
              <w:t>（一）苏尼特右旗人民政府安排更换适合低水位吸水泵，将事故应急池所有废水全部抽出；正镶白旗政府组织将事故应急池污水连续提升至污水厂进水端，与市政污水混合生化处理，做好进出水量调控，确保出水水质达标排放。（二）指导属地政府加强日常监管力度，严格按照处置流程和标准处理城镇污水，防止非事故状态下事故应急池长期大量存蓄废水，有效发挥应急调蓄作用。</w:t>
            </w:r>
          </w:p>
        </w:tc>
      </w:tr>
      <w:tr w14:paraId="6B6A812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95" w:hRule="atLeast"/>
        </w:trPr>
        <w:tc>
          <w:tcPr>
            <w:tcW w:w="2053" w:type="dxa"/>
            <w:noWrap w:val="0"/>
            <w:vAlign w:val="center"/>
          </w:tcPr>
          <w:p w14:paraId="625B4278"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="0" w:afterAutospacing="0" w:line="600" w:lineRule="exac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sz w:val="28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8"/>
                <w:szCs w:val="21"/>
              </w:rPr>
              <w:t>完成情况</w:t>
            </w:r>
          </w:p>
        </w:tc>
        <w:tc>
          <w:tcPr>
            <w:tcW w:w="6469" w:type="dxa"/>
            <w:noWrap w:val="0"/>
            <w:vAlign w:val="center"/>
          </w:tcPr>
          <w:p w14:paraId="12190EFD">
            <w:pPr>
              <w:pStyle w:val="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600" w:lineRule="exact"/>
              <w:jc w:val="both"/>
              <w:textAlignment w:val="auto"/>
              <w:rPr>
                <w:rFonts w:hint="default"/>
                <w:lang w:val="en-US" w:eastAsia="zh-CN"/>
              </w:rPr>
            </w:pPr>
          </w:p>
          <w:p w14:paraId="23330417">
            <w:pPr>
              <w:pStyle w:val="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600" w:lineRule="exact"/>
              <w:jc w:val="both"/>
              <w:textAlignment w:val="auto"/>
              <w:rPr>
                <w:rFonts w:hint="default" w:ascii="华文仿宋" w:hAnsi="华文仿宋" w:eastAsia="华文仿宋" w:cs="华文仿宋"/>
                <w:b/>
                <w:bCs/>
                <w:kern w:val="2"/>
                <w:sz w:val="28"/>
                <w:szCs w:val="28"/>
                <w:lang w:val="en-US" w:eastAsia="zh-CN" w:bidi="ar-SA"/>
              </w:rPr>
            </w:pPr>
          </w:p>
          <w:p w14:paraId="09DDF060">
            <w:pPr>
              <w:pStyle w:val="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600" w:lineRule="exact"/>
              <w:jc w:val="both"/>
              <w:textAlignment w:val="auto"/>
              <w:rPr>
                <w:rFonts w:hint="default" w:ascii="华文仿宋" w:hAnsi="华文仿宋" w:eastAsia="华文仿宋" w:cs="华文仿宋"/>
                <w:b/>
                <w:bCs/>
                <w:kern w:val="2"/>
                <w:sz w:val="28"/>
                <w:szCs w:val="28"/>
                <w:lang w:val="en-US" w:eastAsia="zh-CN" w:bidi="ar-SA"/>
              </w:rPr>
            </w:pPr>
          </w:p>
          <w:p w14:paraId="3AC8E037">
            <w:pPr>
              <w:pStyle w:val="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600" w:lineRule="exact"/>
              <w:jc w:val="both"/>
              <w:textAlignment w:val="auto"/>
              <w:rPr>
                <w:rFonts w:hint="default" w:ascii="华文仿宋" w:hAnsi="华文仿宋" w:eastAsia="华文仿宋" w:cs="华文仿宋"/>
                <w:b/>
                <w:bCs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方正黑体_GBK" w:hAnsi="方正黑体_GBK" w:eastAsia="方正黑体_GBK" w:cs="方正黑体_GBK"/>
                <w:b/>
                <w:bCs/>
                <w:kern w:val="2"/>
                <w:sz w:val="28"/>
                <w:szCs w:val="28"/>
                <w:lang w:val="en-US" w:eastAsia="zh-CN" w:bidi="ar-SA"/>
              </w:rPr>
              <w:t>苏尼特右旗：</w:t>
            </w:r>
            <w:r>
              <w:rPr>
                <w:rFonts w:hint="default" w:ascii="华文仿宋" w:hAnsi="华文仿宋" w:eastAsia="华文仿宋" w:cs="华文仿宋"/>
                <w:b/>
                <w:bCs/>
                <w:kern w:val="2"/>
                <w:sz w:val="28"/>
                <w:szCs w:val="28"/>
                <w:lang w:val="en-US" w:eastAsia="zh-CN" w:bidi="ar-SA"/>
              </w:rPr>
              <w:t>（一</w:t>
            </w:r>
            <w:r>
              <w:rPr>
                <w:rFonts w:hint="eastAsia" w:ascii="华文仿宋" w:hAnsi="华文仿宋" w:eastAsia="华文仿宋" w:cs="华文仿宋"/>
                <w:b/>
                <w:bCs/>
                <w:kern w:val="2"/>
                <w:sz w:val="28"/>
                <w:szCs w:val="28"/>
                <w:lang w:val="en-US" w:eastAsia="zh-CN" w:bidi="ar-SA"/>
              </w:rPr>
              <w:t>）已将应急池内污水抽排至污水处理厂处理。（二）住建部门加强行业监管，督促指导污水处理厂制定完善应急池管理制度和应急池管理方案，强化设施运行管理，防止非事故状态下事故应急池长期大量存蓄废水</w:t>
            </w:r>
            <w:r>
              <w:rPr>
                <w:rFonts w:hint="default" w:ascii="华文仿宋" w:hAnsi="华文仿宋" w:eastAsia="华文仿宋" w:cs="华文仿宋"/>
                <w:b/>
                <w:bCs/>
                <w:kern w:val="2"/>
                <w:sz w:val="28"/>
                <w:szCs w:val="28"/>
                <w:lang w:val="en-US" w:eastAsia="zh-CN" w:bidi="ar-SA"/>
              </w:rPr>
              <w:t>。</w:t>
            </w:r>
          </w:p>
          <w:p w14:paraId="54700817">
            <w:pPr>
              <w:pStyle w:val="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600" w:lineRule="exact"/>
              <w:jc w:val="both"/>
              <w:textAlignment w:val="auto"/>
              <w:rPr>
                <w:rFonts w:hint="default" w:ascii="华文仿宋" w:hAnsi="华文仿宋" w:eastAsia="华文仿宋" w:cs="华文仿宋"/>
                <w:b/>
                <w:bCs/>
                <w:kern w:val="2"/>
                <w:sz w:val="28"/>
                <w:szCs w:val="28"/>
                <w:lang w:val="en-US" w:eastAsia="zh-CN" w:bidi="ar-SA"/>
              </w:rPr>
            </w:pPr>
          </w:p>
          <w:p w14:paraId="26C34CAA">
            <w:pPr>
              <w:pStyle w:val="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600" w:lineRule="exact"/>
              <w:jc w:val="both"/>
              <w:textAlignment w:val="auto"/>
              <w:rPr>
                <w:rFonts w:hint="default" w:ascii="华文仿宋" w:hAnsi="华文仿宋" w:eastAsia="华文仿宋" w:cs="华文仿宋"/>
                <w:b/>
                <w:bCs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方正黑体_GBK" w:hAnsi="方正黑体_GBK" w:eastAsia="方正黑体_GBK" w:cs="方正黑体_GBK"/>
                <w:b/>
                <w:bCs/>
                <w:kern w:val="2"/>
                <w:sz w:val="28"/>
                <w:szCs w:val="28"/>
                <w:lang w:val="en-US" w:eastAsia="zh-CN" w:bidi="ar-SA"/>
              </w:rPr>
              <w:t>正镶白旗</w:t>
            </w:r>
            <w:r>
              <w:rPr>
                <w:rFonts w:hint="eastAsia" w:ascii="方正黑体_GBK" w:hAnsi="方正黑体_GBK" w:eastAsia="方正黑体_GBK" w:cs="方正黑体_GBK"/>
                <w:b/>
                <w:bCs/>
                <w:kern w:val="2"/>
                <w:sz w:val="28"/>
                <w:szCs w:val="28"/>
                <w:lang w:val="en-US" w:eastAsia="zh-CN" w:bidi="ar-SA"/>
              </w:rPr>
              <w:t>：</w:t>
            </w:r>
            <w:r>
              <w:rPr>
                <w:rFonts w:hint="default" w:ascii="华文仿宋" w:hAnsi="华文仿宋" w:eastAsia="华文仿宋" w:cs="华文仿宋"/>
                <w:b/>
                <w:bCs/>
                <w:kern w:val="2"/>
                <w:sz w:val="28"/>
                <w:szCs w:val="28"/>
                <w:lang w:val="en-US" w:eastAsia="zh-CN" w:bidi="ar-SA"/>
              </w:rPr>
              <w:t>（一）已将应急池内污水抽排至污水厂进水端，与市政污水混合处理，合理调整生产工艺，确保出水水质达标排放。（二）建立完善事故应急池管理制度，防止非事故状态下事故应急池长期大量存蓄废水，有效发挥应急调蓄作用。</w:t>
            </w:r>
          </w:p>
          <w:p w14:paraId="5BD1338F">
            <w:pPr>
              <w:pStyle w:val="5"/>
              <w:rPr>
                <w:rFonts w:hint="default"/>
                <w:lang w:val="en-US" w:eastAsia="zh-CN"/>
              </w:rPr>
            </w:pPr>
          </w:p>
          <w:p w14:paraId="2720EC19">
            <w:pPr>
              <w:pStyle w:val="5"/>
              <w:rPr>
                <w:rFonts w:hint="default"/>
                <w:lang w:val="en-US" w:eastAsia="zh-CN"/>
              </w:rPr>
            </w:pPr>
          </w:p>
          <w:p w14:paraId="1A0D7277">
            <w:pPr>
              <w:pStyle w:val="5"/>
              <w:rPr>
                <w:rFonts w:hint="default"/>
                <w:lang w:val="en-US" w:eastAsia="zh-CN"/>
              </w:rPr>
            </w:pPr>
          </w:p>
          <w:p w14:paraId="5EFD78F8">
            <w:pPr>
              <w:pStyle w:val="5"/>
              <w:rPr>
                <w:rFonts w:hint="default"/>
                <w:lang w:val="en-US" w:eastAsia="zh-CN"/>
              </w:rPr>
            </w:pPr>
          </w:p>
          <w:p w14:paraId="52BD0263">
            <w:pPr>
              <w:pStyle w:val="5"/>
              <w:rPr>
                <w:rFonts w:hint="default"/>
                <w:lang w:val="en-US" w:eastAsia="zh-CN"/>
              </w:rPr>
            </w:pPr>
          </w:p>
          <w:p w14:paraId="4C6CEC08">
            <w:pPr>
              <w:pStyle w:val="5"/>
              <w:rPr>
                <w:rFonts w:hint="default"/>
                <w:lang w:val="en-US" w:eastAsia="zh-CN"/>
              </w:rPr>
            </w:pPr>
          </w:p>
          <w:p w14:paraId="44ADA70C">
            <w:pPr>
              <w:pStyle w:val="5"/>
              <w:rPr>
                <w:rFonts w:hint="default"/>
                <w:lang w:val="en-US" w:eastAsia="zh-CN"/>
              </w:rPr>
            </w:pPr>
          </w:p>
          <w:p w14:paraId="4630E28A">
            <w:pPr>
              <w:pStyle w:val="5"/>
              <w:rPr>
                <w:rFonts w:hint="default"/>
                <w:lang w:val="en-US" w:eastAsia="zh-CN"/>
              </w:rPr>
            </w:pPr>
          </w:p>
          <w:p w14:paraId="13FF636A">
            <w:pPr>
              <w:pStyle w:val="5"/>
              <w:rPr>
                <w:rFonts w:hint="default"/>
                <w:lang w:val="en-US" w:eastAsia="zh-CN"/>
              </w:rPr>
            </w:pPr>
          </w:p>
          <w:p w14:paraId="7539D503">
            <w:pPr>
              <w:pStyle w:val="5"/>
              <w:rPr>
                <w:rFonts w:hint="default"/>
                <w:lang w:val="en-US" w:eastAsia="zh-CN"/>
              </w:rPr>
            </w:pPr>
          </w:p>
          <w:p w14:paraId="0390B9D7">
            <w:pPr>
              <w:pStyle w:val="5"/>
              <w:rPr>
                <w:rFonts w:hint="default"/>
                <w:lang w:val="en-US" w:eastAsia="zh-CN"/>
              </w:rPr>
            </w:pPr>
          </w:p>
        </w:tc>
      </w:tr>
    </w:tbl>
    <w:p w14:paraId="4E51FA4C"/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黑体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黑体_GBK">
    <w:altName w:val="微软雅黑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C1818DC"/>
    <w:rsid w:val="43386637"/>
    <w:rsid w:val="58F266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3">
    <w:name w:val="heading 1"/>
    <w:basedOn w:val="4"/>
    <w:next w:val="5"/>
    <w:qFormat/>
    <w:uiPriority w:val="0"/>
    <w:pPr>
      <w:snapToGrid w:val="0"/>
      <w:spacing w:beforeAutospacing="1" w:afterAutospacing="1" w:line="600" w:lineRule="exact"/>
      <w:outlineLvl w:val="0"/>
    </w:pPr>
    <w:rPr>
      <w:rFonts w:hint="eastAsia" w:ascii="宋体" w:hAnsi="宋体" w:eastAsia="方正小标宋简体"/>
      <w:b w:val="0"/>
      <w:bCs/>
      <w:kern w:val="44"/>
      <w:sz w:val="44"/>
      <w:szCs w:val="48"/>
    </w:rPr>
  </w:style>
  <w:style w:type="paragraph" w:styleId="2">
    <w:name w:val="heading 2"/>
    <w:basedOn w:val="1"/>
    <w:next w:val="1"/>
    <w:qFormat/>
    <w:uiPriority w:val="0"/>
    <w:pPr>
      <w:keepNext/>
      <w:keepLines/>
      <w:spacing w:before="260" w:after="260" w:line="416" w:lineRule="auto"/>
      <w:outlineLvl w:val="1"/>
    </w:pPr>
    <w:rPr>
      <w:rFonts w:ascii="Cambria" w:hAnsi="Cambria" w:cs="Times New Roman"/>
      <w:b/>
      <w:bCs/>
      <w:kern w:val="0"/>
      <w:sz w:val="32"/>
      <w:szCs w:val="32"/>
    </w:rPr>
  </w:style>
  <w:style w:type="character" w:default="1" w:styleId="8">
    <w:name w:val="Default Paragraph Font"/>
    <w:semiHidden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Title"/>
    <w:basedOn w:val="1"/>
    <w:qFormat/>
    <w:uiPriority w:val="0"/>
    <w:pPr>
      <w:spacing w:before="240" w:after="60"/>
      <w:jc w:val="center"/>
      <w:outlineLvl w:val="0"/>
    </w:pPr>
    <w:rPr>
      <w:rFonts w:ascii="Arial" w:hAnsi="Arial"/>
      <w:b/>
    </w:rPr>
  </w:style>
  <w:style w:type="paragraph" w:styleId="5">
    <w:name w:val="Body Text"/>
    <w:basedOn w:val="1"/>
    <w:qFormat/>
    <w:uiPriority w:val="0"/>
    <w:pPr>
      <w:spacing w:after="120"/>
    </w:pPr>
  </w:style>
  <w:style w:type="table" w:styleId="7">
    <w:name w:val="Table Grid"/>
    <w:basedOn w:val="6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2025-05-06T08:20:06Z</dcterms:created>
  <dc:creator>Administrator</dc:creator>
  <cp:lastModifiedBy>演示人</cp:lastModifiedBy>
  <dcterms:modified xsi:type="dcterms:W3CDTF">2025-05-06T08:21:45Z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KSOTemplateDocerSaveRecord">
    <vt:lpwstr>eyJoZGlkIjoiNWExZjUxZGNlNWQ0MTIzOTM4ZDE3Y2RmY2VlNWEzNzYifQ==</vt:lpwstr>
  </property>
  <property fmtid="{D5CDD505-2E9C-101B-9397-08002B2CF9AE}" pid="4" name="ICV">
    <vt:lpwstr>CCF6CC074EB24F118ADF81189BEF453D_13</vt:lpwstr>
  </property>
</Properties>
</file>